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5A1A7059" wp14:editId="4354E198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2A5F6733" wp14:editId="2906E758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08E5F051" wp14:editId="784102A1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2C2F26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2C2F26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2C2F26">
              <w:rPr>
                <w:sz w:val="16"/>
                <w:szCs w:val="16"/>
                <w:lang w:val="en-US"/>
              </w:rPr>
              <w:t xml:space="preserve">:  </w:t>
            </w:r>
            <w:hyperlink r:id="rId8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2C2F26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2C2F26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756BDF" w:rsidP="006C450B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3835D0" w:rsidP="004E4968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968">
              <w:rPr>
                <w:sz w:val="20"/>
                <w:szCs w:val="20"/>
              </w:rPr>
              <w:t>3</w:t>
            </w:r>
            <w:r w:rsidR="00ED2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E4968">
              <w:rPr>
                <w:sz w:val="20"/>
                <w:szCs w:val="20"/>
              </w:rPr>
              <w:t>3</w:t>
            </w:r>
            <w:r w:rsidR="00CF3703">
              <w:rPr>
                <w:sz w:val="20"/>
                <w:szCs w:val="20"/>
              </w:rPr>
              <w:t>.20</w:t>
            </w:r>
            <w:r w:rsidR="00D36C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EA6A6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4E49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DB0EB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DB0EBB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E93455" w:rsidRDefault="003835D0" w:rsidP="00DB0EB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1.1. 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контрольно-счётной комиссии Дзержинского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согласованного решением Дзержинского Районного Собрания </w:t>
            </w:r>
            <w:r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Дзержинский район»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внешняя проверка годовых отчетов об исполнении бюджетов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ГП «</w:t>
            </w:r>
            <w:r w:rsidR="00E93455">
              <w:rPr>
                <w:rFonts w:ascii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93455">
              <w:rPr>
                <w:rFonts w:ascii="Times New Roman" w:hAnsi="Times New Roman" w:cs="Times New Roman"/>
                <w:sz w:val="24"/>
                <w:szCs w:val="24"/>
              </w:rPr>
              <w:t xml:space="preserve"> ГП «Поселок </w:t>
            </w:r>
            <w:proofErr w:type="spellStart"/>
            <w:r w:rsidR="00E93455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="00E93455">
              <w:rPr>
                <w:rFonts w:ascii="Times New Roman" w:hAnsi="Times New Roman" w:cs="Times New Roman"/>
                <w:sz w:val="24"/>
                <w:szCs w:val="24"/>
              </w:rPr>
              <w:t xml:space="preserve">»,  ГП «Поселок Полотняный Завод»,  СП «Деревня Барсуки»,  СП «Деревня Галкино»,  СП «Деревня </w:t>
            </w:r>
            <w:proofErr w:type="spellStart"/>
            <w:r w:rsidR="00E93455">
              <w:rPr>
                <w:rFonts w:ascii="Times New Roman" w:hAnsi="Times New Roman" w:cs="Times New Roman"/>
                <w:sz w:val="24"/>
                <w:szCs w:val="24"/>
              </w:rPr>
              <w:t>Карцово</w:t>
            </w:r>
            <w:proofErr w:type="spellEnd"/>
            <w:r w:rsidR="00E93455">
              <w:rPr>
                <w:rFonts w:ascii="Times New Roman" w:hAnsi="Times New Roman" w:cs="Times New Roman"/>
                <w:sz w:val="24"/>
                <w:szCs w:val="24"/>
              </w:rPr>
              <w:t>»,  СП «Село Льва Толстого»,  СП</w:t>
            </w:r>
            <w:proofErr w:type="gramEnd"/>
            <w:r w:rsidR="00E93455">
              <w:rPr>
                <w:rFonts w:ascii="Times New Roman" w:hAnsi="Times New Roman" w:cs="Times New Roman"/>
                <w:sz w:val="24"/>
                <w:szCs w:val="24"/>
              </w:rPr>
              <w:t xml:space="preserve"> «Совхоз им. Ленина»,  СП «Деревня Старки», СП «Угорское».</w:t>
            </w:r>
          </w:p>
          <w:p w:rsidR="003835D0" w:rsidRPr="00DB0EBB" w:rsidRDefault="003835D0" w:rsidP="00DB0EB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B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устранены замечания к решениям представительных органов</w:t>
            </w:r>
            <w:r w:rsidR="00376482"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25" w:rsidRPr="00DB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482"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482"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уточнен размер профицита </w:t>
            </w:r>
            <w:r w:rsidR="004B7625" w:rsidRPr="00DB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482"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B7625" w:rsidRPr="00DB0E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76482" w:rsidRPr="00DB0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недостающие документы. </w:t>
            </w:r>
            <w:r w:rsidR="00376482" w:rsidRPr="00DB0EBB">
              <w:rPr>
                <w:rFonts w:ascii="Times New Roman" w:hAnsi="Times New Roman" w:cs="Times New Roman"/>
                <w:sz w:val="24"/>
                <w:szCs w:val="24"/>
              </w:rPr>
              <w:t>Скорректированные п</w:t>
            </w:r>
            <w:r w:rsidRPr="00DB0EBB">
              <w:rPr>
                <w:rFonts w:ascii="Times New Roman" w:hAnsi="Times New Roman" w:cs="Times New Roman"/>
                <w:sz w:val="24"/>
                <w:szCs w:val="24"/>
              </w:rPr>
              <w:t>роекты решений</w:t>
            </w:r>
            <w:r w:rsidR="00376482"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</w:t>
            </w:r>
            <w:r w:rsidRPr="00DB0EBB">
              <w:rPr>
                <w:rFonts w:ascii="Times New Roman" w:hAnsi="Times New Roman" w:cs="Times New Roman"/>
                <w:sz w:val="24"/>
                <w:szCs w:val="24"/>
              </w:rPr>
              <w:t xml:space="preserve"> были рекомендованы к рассмотрению  представительными органами поселений.</w:t>
            </w:r>
          </w:p>
          <w:p w:rsidR="00376482" w:rsidRDefault="003835D0" w:rsidP="00DB0EBB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 1.6. плана работы,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 экспертиза </w:t>
            </w:r>
            <w:r w:rsidR="00F544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программ 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 </w:t>
            </w:r>
            <w:r w:rsidR="00F54453">
              <w:rPr>
                <w:rFonts w:ascii="Times New Roman" w:hAnsi="Times New Roman"/>
                <w:sz w:val="24"/>
                <w:szCs w:val="24"/>
              </w:rPr>
              <w:t>1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54453">
              <w:rPr>
                <w:rFonts w:ascii="Times New Roman" w:hAnsi="Times New Roman"/>
                <w:sz w:val="24"/>
                <w:szCs w:val="24"/>
              </w:rPr>
              <w:t>ой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54453">
              <w:rPr>
                <w:rFonts w:ascii="Times New Roman" w:hAnsi="Times New Roman"/>
                <w:sz w:val="24"/>
                <w:szCs w:val="24"/>
              </w:rPr>
              <w:t>ы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 ГП «Город Кондрово»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>в части уточнения финансового обеспечения в соответствии с утвержденным бюджетом на 202</w:t>
            </w:r>
            <w:r w:rsidR="00F54453">
              <w:rPr>
                <w:rFonts w:ascii="Times New Roman" w:hAnsi="Times New Roman"/>
                <w:sz w:val="24"/>
                <w:szCs w:val="24"/>
              </w:rPr>
              <w:t xml:space="preserve">3 год и плановый период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>2</w:t>
            </w:r>
            <w:r w:rsidR="00F54453">
              <w:rPr>
                <w:rFonts w:ascii="Times New Roman" w:hAnsi="Times New Roman"/>
                <w:sz w:val="24"/>
                <w:szCs w:val="24"/>
              </w:rPr>
              <w:t>024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>–2025 год</w:t>
            </w:r>
            <w:r w:rsidR="00F54453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F54453" w:rsidRPr="00F5445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F544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54453" w:rsidRPr="00F5445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F54453">
              <w:rPr>
                <w:rFonts w:ascii="Times New Roman" w:hAnsi="Times New Roman"/>
                <w:sz w:val="24"/>
                <w:szCs w:val="24"/>
              </w:rPr>
              <w:t xml:space="preserve">, а так </w:t>
            </w:r>
            <w:r w:rsidR="00736AA7">
              <w:rPr>
                <w:rFonts w:ascii="Times New Roman" w:hAnsi="Times New Roman"/>
                <w:sz w:val="24"/>
                <w:szCs w:val="24"/>
              </w:rPr>
              <w:t>же проект внесения изменений</w:t>
            </w:r>
            <w:proofErr w:type="gramEnd"/>
            <w:r w:rsidR="00736AA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54453">
              <w:rPr>
                <w:rFonts w:ascii="Times New Roman" w:hAnsi="Times New Roman"/>
                <w:sz w:val="24"/>
                <w:szCs w:val="24"/>
              </w:rPr>
              <w:t>4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54453">
              <w:rPr>
                <w:rFonts w:ascii="Times New Roman" w:hAnsi="Times New Roman"/>
                <w:sz w:val="24"/>
                <w:szCs w:val="24"/>
              </w:rPr>
              <w:t>ые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54453">
              <w:rPr>
                <w:rFonts w:ascii="Times New Roman" w:hAnsi="Times New Roman"/>
                <w:sz w:val="24"/>
                <w:szCs w:val="24"/>
              </w:rPr>
              <w:t xml:space="preserve">ы муниципального района </w:t>
            </w:r>
            <w:r w:rsidR="00736AA7">
              <w:rPr>
                <w:rFonts w:ascii="Times New Roman" w:hAnsi="Times New Roman"/>
                <w:sz w:val="24"/>
                <w:szCs w:val="24"/>
              </w:rPr>
              <w:t>в части изменения лимитов на 2023 год.</w:t>
            </w:r>
          </w:p>
          <w:p w:rsidR="00F54453" w:rsidRDefault="00F54453" w:rsidP="00736AA7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ABE" w:rsidRDefault="0027163B" w:rsidP="00B44EB3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994610" w:rsidRDefault="00F57741" w:rsidP="00994610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В соответствии с </w:t>
            </w:r>
            <w:r w:rsidR="00994610">
              <w:t>п. 3.1. плана работы</w:t>
            </w:r>
            <w:r w:rsidR="00DB0EBB">
              <w:t xml:space="preserve"> </w:t>
            </w:r>
            <w:r w:rsidR="00994610">
              <w:t>Дзержинск</w:t>
            </w:r>
            <w:r>
              <w:t>им</w:t>
            </w:r>
            <w:r w:rsidR="00994610">
              <w:t xml:space="preserve"> Районн</w:t>
            </w:r>
            <w:r>
              <w:t>ым</w:t>
            </w:r>
            <w:r w:rsidR="00994610">
              <w:t xml:space="preserve"> Собрание</w:t>
            </w:r>
            <w:r>
              <w:t xml:space="preserve">м утвержден отчет о деятельности </w:t>
            </w:r>
            <w:r w:rsidR="00994610">
              <w:t xml:space="preserve">контрольно-счетной комиссии за 2022 год. </w:t>
            </w:r>
          </w:p>
          <w:p w:rsidR="002C2F26" w:rsidRPr="003B1D82" w:rsidRDefault="00B44EB3" w:rsidP="00F57741">
            <w:pPr>
              <w:spacing w:line="276" w:lineRule="auto"/>
              <w:ind w:firstLine="709"/>
              <w:jc w:val="both"/>
            </w:pPr>
            <w:r>
              <w:t xml:space="preserve">В соответствии с п. 3.4. плана работы </w:t>
            </w:r>
            <w:r w:rsidR="00994610">
              <w:t xml:space="preserve">сотрудники контрольно-счетной комиссии </w:t>
            </w:r>
            <w:r w:rsidR="00994610">
              <w:lastRenderedPageBreak/>
              <w:t xml:space="preserve">приняли участие в </w:t>
            </w:r>
            <w:r w:rsidR="002C2F26" w:rsidRPr="003B1D82">
              <w:t>семинар</w:t>
            </w:r>
            <w:r w:rsidR="004B68F1" w:rsidRPr="003B1D82">
              <w:t>е</w:t>
            </w:r>
            <w:r w:rsidR="002C2F26" w:rsidRPr="003B1D82">
              <w:t xml:space="preserve"> по актуальным вопросам противодействия коррупции</w:t>
            </w:r>
            <w:r w:rsidR="0043728C">
              <w:t>. Были р</w:t>
            </w:r>
            <w:r w:rsidR="00F57741" w:rsidRPr="003B1D82">
              <w:t>ассмотрены</w:t>
            </w:r>
            <w:r w:rsidR="002C2F26" w:rsidRPr="003B1D82">
              <w:t xml:space="preserve"> вопросы</w:t>
            </w:r>
            <w:r w:rsidR="00F57741" w:rsidRPr="003B1D82">
              <w:t xml:space="preserve"> о</w:t>
            </w:r>
            <w:r w:rsidR="002C2F26" w:rsidRPr="003B1D82">
              <w:t xml:space="preserve"> представлении сведений о доходах, расходах, об имуществе и обязательствах имущественного характера в 2023 году</w:t>
            </w:r>
            <w:r w:rsidR="00F57741" w:rsidRPr="003B1D82">
              <w:t xml:space="preserve">, о </w:t>
            </w:r>
            <w:r w:rsidR="002C2F26" w:rsidRPr="003B1D82">
              <w:t>проведени</w:t>
            </w:r>
            <w:r w:rsidR="00F57741" w:rsidRPr="003B1D82">
              <w:t>и</w:t>
            </w:r>
            <w:r w:rsidR="002C2F26" w:rsidRPr="003B1D82">
              <w:t xml:space="preserve"> антикоррупционного мониторинга в органах местного самоуправления и подведомственных им организациях</w:t>
            </w:r>
            <w:r w:rsidR="00F57741" w:rsidRPr="003B1D82">
              <w:t>.</w:t>
            </w:r>
          </w:p>
          <w:p w:rsidR="002C2F26" w:rsidRPr="003B1D82" w:rsidRDefault="00F57741" w:rsidP="00994610">
            <w:pPr>
              <w:spacing w:line="276" w:lineRule="auto"/>
              <w:ind w:firstLine="709"/>
              <w:jc w:val="both"/>
            </w:pPr>
            <w:r>
              <w:t>Также сотрудники н</w:t>
            </w:r>
            <w:r>
              <w:t xml:space="preserve">а Портале КСО </w:t>
            </w:r>
            <w:r>
              <w:t xml:space="preserve">РФ </w:t>
            </w:r>
            <w:r w:rsidR="0043728C">
              <w:t xml:space="preserve"> </w:t>
            </w:r>
            <w:r w:rsidR="0043728C">
              <w:t>участвовали</w:t>
            </w:r>
            <w:r w:rsidR="0043728C">
              <w:t xml:space="preserve"> </w:t>
            </w:r>
            <w:r>
              <w:t>в</w:t>
            </w:r>
            <w:r>
              <w:t xml:space="preserve"> </w:t>
            </w:r>
            <w:proofErr w:type="spellStart"/>
            <w:r>
              <w:t>вебинар</w:t>
            </w:r>
            <w:r>
              <w:t>е</w:t>
            </w:r>
            <w:proofErr w:type="spellEnd"/>
            <w:r>
              <w:t xml:space="preserve"> в </w:t>
            </w:r>
            <w:r>
              <w:t xml:space="preserve">формате видеоконференции </w:t>
            </w:r>
            <w:r w:rsidR="004B68F1" w:rsidRPr="003B1D82">
              <w:t>«Практика проведения внешнего муниципального финансового контроля за обустройством дворовых территорий и общественных простран</w:t>
            </w:r>
            <w:proofErr w:type="gramStart"/>
            <w:r w:rsidR="004B68F1" w:rsidRPr="003B1D82">
              <w:t>ств пр</w:t>
            </w:r>
            <w:proofErr w:type="gramEnd"/>
            <w:r w:rsidR="004B68F1" w:rsidRPr="003B1D82">
              <w:t>и реализации национального проекта «Жилье и городская среда».</w:t>
            </w:r>
          </w:p>
          <w:p w:rsidR="004B68F1" w:rsidRDefault="003B1D82" w:rsidP="003B1D82">
            <w:pPr>
              <w:spacing w:line="276" w:lineRule="auto"/>
              <w:ind w:firstLine="709"/>
              <w:jc w:val="both"/>
            </w:pPr>
            <w:r>
              <w:t>П</w:t>
            </w:r>
            <w:r>
              <w:t>о итогам деятельности контрольно-счетной комиссии за 2022 год</w:t>
            </w:r>
            <w:r>
              <w:t xml:space="preserve"> в Контрольно-счетную палату Калужской области были представлены отчетные формы: </w:t>
            </w:r>
            <w:proofErr w:type="gramStart"/>
            <w:r>
              <w:t>«</w:t>
            </w:r>
            <w:r w:rsidRPr="008C034B">
              <w:t xml:space="preserve">Основные </w:t>
            </w:r>
            <w:r w:rsidRPr="00546CDD">
              <w:t>показатели деятельности КСО», «Показатели, характеризующие выполнение полномочий КСО</w:t>
            </w:r>
            <w:r>
              <w:t xml:space="preserve"> МО</w:t>
            </w:r>
            <w:r w:rsidRPr="00546CDD">
              <w:t>», «Сведения о результатах контрольных мероприятий, в</w:t>
            </w:r>
            <w:r>
              <w:t xml:space="preserve"> рамках которых проводился аудит в сфере закупок», «</w:t>
            </w:r>
            <w:r w:rsidRPr="004E37B8">
              <w:t>Протоколы об административных правонарушениях по статьям КоАП РФ</w:t>
            </w:r>
            <w:r>
              <w:t xml:space="preserve">», </w:t>
            </w:r>
            <w:r w:rsidRPr="00130DB2">
              <w:t>«Анализ практики осуществления полномочий в сфере противодействия коррупции»</w:t>
            </w:r>
            <w:r>
              <w:t>, «</w:t>
            </w:r>
            <w:r w:rsidRPr="00484C0B">
              <w:t>Кадровое, финансово</w:t>
            </w:r>
            <w:r>
              <w:t>е и информационное обеспечение</w:t>
            </w:r>
            <w:r w:rsidRPr="00484C0B">
              <w:t xml:space="preserve"> КСО </w:t>
            </w:r>
            <w:r>
              <w:t xml:space="preserve">МО </w:t>
            </w:r>
            <w:r w:rsidRPr="00484C0B">
              <w:t>Калужской области</w:t>
            </w:r>
            <w:r>
              <w:t xml:space="preserve">», «Анализ и обобщение результатов реализации изменений в Федеральный закон № 6-ФЗ», </w:t>
            </w:r>
            <w:r w:rsidRPr="00484C0B">
              <w:t>Сведения о</w:t>
            </w:r>
            <w:proofErr w:type="gramEnd"/>
            <w:r w:rsidRPr="00484C0B">
              <w:t xml:space="preserve"> </w:t>
            </w:r>
            <w:proofErr w:type="gramStart"/>
            <w:r w:rsidRPr="00484C0B">
              <w:t>руководителе</w:t>
            </w:r>
            <w:proofErr w:type="gramEnd"/>
            <w:r w:rsidRPr="00484C0B">
              <w:t xml:space="preserve"> КСО</w:t>
            </w:r>
            <w:r>
              <w:t>.</w:t>
            </w:r>
          </w:p>
          <w:p w:rsidR="0043728C" w:rsidRDefault="00FF7303" w:rsidP="00994610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Подготовлен и сдан в финансовый отдел администрации Дзержинского района ежемесячный отчет об исполнении бюджета за январь, в отдел закупок - </w:t>
            </w:r>
            <w:r w:rsidRPr="00077924">
              <w:t xml:space="preserve"> предоставлены исходные данные о проверенных закупках для расчета Рейтинга эффективности и прозрачности закупочных систем регионов РФ</w:t>
            </w:r>
            <w:r>
              <w:t xml:space="preserve">. </w:t>
            </w:r>
          </w:p>
          <w:p w:rsidR="00994610" w:rsidRDefault="00FF7303" w:rsidP="00994610">
            <w:pPr>
              <w:pStyle w:val="aa"/>
              <w:spacing w:line="276" w:lineRule="auto"/>
              <w:ind w:left="0" w:firstLine="709"/>
              <w:jc w:val="both"/>
            </w:pPr>
            <w:proofErr w:type="gramStart"/>
            <w:r>
              <w:t xml:space="preserve">Предоставлен отчет </w:t>
            </w:r>
            <w:r w:rsidR="0043728C">
              <w:t xml:space="preserve">в ИФНС России № 2 по Калужской области – «Расчет по страховым взносам», «Персонифицированные сведения о физических лицах», «Баланс главного распорядителя», «Уведомления об исчисленных суммах налогов, авансовых платежей по налогам, страховых взносов»; в  </w:t>
            </w:r>
            <w:proofErr w:type="spellStart"/>
            <w:r w:rsidR="0043728C">
              <w:t>Калугастат</w:t>
            </w:r>
            <w:proofErr w:type="spellEnd"/>
            <w:r w:rsidR="0043728C">
              <w:t xml:space="preserve">  - «Сведения о наличии и движении основных фондов некоммерческих организаций», «Сведения о численности и фонде заработной платы, дополнительном профессиональном образовании, кадровом составе муниципальных служащих»;</w:t>
            </w:r>
            <w:proofErr w:type="gramEnd"/>
            <w:r w:rsidRPr="00986A0C">
              <w:t xml:space="preserve"> в Прокуратуру Дзержинского района - по муниципальным контрактам, заключенным контрольно-счетной комиссией за текущий месяц 202</w:t>
            </w:r>
            <w:r>
              <w:t>2</w:t>
            </w:r>
            <w:r w:rsidRPr="00986A0C">
              <w:t xml:space="preserve"> года, фактам допущения задолженности и случаях заключения дополнительных соглашений</w:t>
            </w:r>
            <w:r>
              <w:t>.</w:t>
            </w:r>
          </w:p>
          <w:p w:rsidR="004C0491" w:rsidRPr="0043728C" w:rsidRDefault="004C0491" w:rsidP="00994610">
            <w:pPr>
              <w:pStyle w:val="aa"/>
              <w:spacing w:line="276" w:lineRule="auto"/>
              <w:ind w:left="0" w:firstLine="709"/>
              <w:jc w:val="both"/>
            </w:pPr>
            <w:r w:rsidRPr="0043728C">
              <w:t>В единой информационной системе размещен</w:t>
            </w:r>
            <w:r w:rsidR="00FF7303" w:rsidRPr="0043728C">
              <w:t xml:space="preserve"> отчет об объеме закупок за 2022</w:t>
            </w:r>
            <w:r w:rsidRPr="0043728C">
              <w:t xml:space="preserve"> год у субъектов малого предпринимательства, социально-ориентированных некоммерческих организаций. В ГИС «</w:t>
            </w:r>
            <w:proofErr w:type="spellStart"/>
            <w:r w:rsidRPr="0043728C">
              <w:t>Энергоэффективность</w:t>
            </w:r>
            <w:proofErr w:type="spellEnd"/>
            <w:r w:rsidRPr="0043728C">
              <w:t>» размещена декларация о потреблении энергетических ресурсов.</w:t>
            </w:r>
          </w:p>
          <w:p w:rsidR="00994610" w:rsidRDefault="00994610" w:rsidP="00994610">
            <w:pPr>
              <w:pStyle w:val="aa"/>
              <w:spacing w:line="276" w:lineRule="auto"/>
              <w:ind w:left="0" w:firstLine="709"/>
              <w:jc w:val="both"/>
            </w:pPr>
          </w:p>
          <w:p w:rsidR="005A6D98" w:rsidRPr="004E6B0B" w:rsidRDefault="00F04E74" w:rsidP="00F16635">
            <w:pPr>
              <w:pStyle w:val="aa"/>
              <w:spacing w:line="276" w:lineRule="auto"/>
              <w:ind w:left="0" w:firstLine="709"/>
              <w:jc w:val="both"/>
            </w:pPr>
            <w:r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1B77" w:rsidRPr="00E3686B" w:rsidRDefault="00B11B77" w:rsidP="009A3C16">
      <w:pPr>
        <w:tabs>
          <w:tab w:val="left" w:pos="6273"/>
        </w:tabs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12781"/>
    <w:rsid w:val="00012AF7"/>
    <w:rsid w:val="00015E06"/>
    <w:rsid w:val="000233F8"/>
    <w:rsid w:val="00036FDD"/>
    <w:rsid w:val="0003719C"/>
    <w:rsid w:val="0004067E"/>
    <w:rsid w:val="00041F12"/>
    <w:rsid w:val="00056E92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B472E"/>
    <w:rsid w:val="000B7A5C"/>
    <w:rsid w:val="000C0806"/>
    <w:rsid w:val="000C6FAF"/>
    <w:rsid w:val="000D1766"/>
    <w:rsid w:val="000E7845"/>
    <w:rsid w:val="000E78FC"/>
    <w:rsid w:val="000F16B0"/>
    <w:rsid w:val="000F2E9F"/>
    <w:rsid w:val="000F5F54"/>
    <w:rsid w:val="00100712"/>
    <w:rsid w:val="00101745"/>
    <w:rsid w:val="00101F8D"/>
    <w:rsid w:val="00107EFA"/>
    <w:rsid w:val="00111935"/>
    <w:rsid w:val="0011521D"/>
    <w:rsid w:val="00146B59"/>
    <w:rsid w:val="0015483F"/>
    <w:rsid w:val="00155EEA"/>
    <w:rsid w:val="00157050"/>
    <w:rsid w:val="00160283"/>
    <w:rsid w:val="00162EEF"/>
    <w:rsid w:val="0017083E"/>
    <w:rsid w:val="001774AE"/>
    <w:rsid w:val="001814EE"/>
    <w:rsid w:val="00186033"/>
    <w:rsid w:val="00187558"/>
    <w:rsid w:val="00195E92"/>
    <w:rsid w:val="00196F04"/>
    <w:rsid w:val="001A32E4"/>
    <w:rsid w:val="001A49F4"/>
    <w:rsid w:val="001C63E7"/>
    <w:rsid w:val="001C76B6"/>
    <w:rsid w:val="001D128F"/>
    <w:rsid w:val="001D5C5C"/>
    <w:rsid w:val="001F41DE"/>
    <w:rsid w:val="001F6278"/>
    <w:rsid w:val="00202E7D"/>
    <w:rsid w:val="00205A3C"/>
    <w:rsid w:val="002060FD"/>
    <w:rsid w:val="00210A7C"/>
    <w:rsid w:val="00213285"/>
    <w:rsid w:val="00214E43"/>
    <w:rsid w:val="002160B7"/>
    <w:rsid w:val="0022299C"/>
    <w:rsid w:val="00253F99"/>
    <w:rsid w:val="0025633E"/>
    <w:rsid w:val="0025647D"/>
    <w:rsid w:val="002643FB"/>
    <w:rsid w:val="0026482F"/>
    <w:rsid w:val="00270B58"/>
    <w:rsid w:val="0027163B"/>
    <w:rsid w:val="002801C8"/>
    <w:rsid w:val="00286F56"/>
    <w:rsid w:val="0029669E"/>
    <w:rsid w:val="002A57CB"/>
    <w:rsid w:val="002B1307"/>
    <w:rsid w:val="002C2E0E"/>
    <w:rsid w:val="002C2F26"/>
    <w:rsid w:val="002C39B5"/>
    <w:rsid w:val="002C4225"/>
    <w:rsid w:val="002D08E7"/>
    <w:rsid w:val="002D2BBD"/>
    <w:rsid w:val="002D4317"/>
    <w:rsid w:val="002E5F4A"/>
    <w:rsid w:val="002E6D9A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580D"/>
    <w:rsid w:val="00370131"/>
    <w:rsid w:val="00371C03"/>
    <w:rsid w:val="00372A06"/>
    <w:rsid w:val="00372DDD"/>
    <w:rsid w:val="00376482"/>
    <w:rsid w:val="0038144A"/>
    <w:rsid w:val="003835D0"/>
    <w:rsid w:val="00384E3E"/>
    <w:rsid w:val="00390ECB"/>
    <w:rsid w:val="00395D87"/>
    <w:rsid w:val="003A496A"/>
    <w:rsid w:val="003B0144"/>
    <w:rsid w:val="003B1D82"/>
    <w:rsid w:val="003B2876"/>
    <w:rsid w:val="003B5F8A"/>
    <w:rsid w:val="003D50F8"/>
    <w:rsid w:val="003E0E84"/>
    <w:rsid w:val="003E13FF"/>
    <w:rsid w:val="003F0A9B"/>
    <w:rsid w:val="003F251E"/>
    <w:rsid w:val="003F2A63"/>
    <w:rsid w:val="003F3029"/>
    <w:rsid w:val="003F7736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4ACB"/>
    <w:rsid w:val="004764DB"/>
    <w:rsid w:val="00477CF3"/>
    <w:rsid w:val="004A240A"/>
    <w:rsid w:val="004A6428"/>
    <w:rsid w:val="004A6B41"/>
    <w:rsid w:val="004B1032"/>
    <w:rsid w:val="004B4420"/>
    <w:rsid w:val="004B516B"/>
    <w:rsid w:val="004B6040"/>
    <w:rsid w:val="004B68F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F09CA"/>
    <w:rsid w:val="004F0EB7"/>
    <w:rsid w:val="004F2280"/>
    <w:rsid w:val="004F4ACA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906E1"/>
    <w:rsid w:val="00590D85"/>
    <w:rsid w:val="005A253C"/>
    <w:rsid w:val="005A6D98"/>
    <w:rsid w:val="005B0026"/>
    <w:rsid w:val="005C0013"/>
    <w:rsid w:val="005C01F5"/>
    <w:rsid w:val="005C357C"/>
    <w:rsid w:val="005E01E3"/>
    <w:rsid w:val="005E0F8B"/>
    <w:rsid w:val="005E1BBA"/>
    <w:rsid w:val="005F19EB"/>
    <w:rsid w:val="005F3564"/>
    <w:rsid w:val="006109DB"/>
    <w:rsid w:val="006171BE"/>
    <w:rsid w:val="0062120B"/>
    <w:rsid w:val="00624C38"/>
    <w:rsid w:val="006301E9"/>
    <w:rsid w:val="00630D85"/>
    <w:rsid w:val="00636E96"/>
    <w:rsid w:val="00641251"/>
    <w:rsid w:val="00642003"/>
    <w:rsid w:val="00650A69"/>
    <w:rsid w:val="00650DB9"/>
    <w:rsid w:val="00660783"/>
    <w:rsid w:val="00661968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B0557"/>
    <w:rsid w:val="006B2BE4"/>
    <w:rsid w:val="006B4FD4"/>
    <w:rsid w:val="006C450B"/>
    <w:rsid w:val="006C4ECB"/>
    <w:rsid w:val="006C7462"/>
    <w:rsid w:val="006D3B38"/>
    <w:rsid w:val="006D61C1"/>
    <w:rsid w:val="006E0E22"/>
    <w:rsid w:val="006F0074"/>
    <w:rsid w:val="006F58C1"/>
    <w:rsid w:val="006F6C49"/>
    <w:rsid w:val="00715124"/>
    <w:rsid w:val="00716DE8"/>
    <w:rsid w:val="007177D2"/>
    <w:rsid w:val="00730CFE"/>
    <w:rsid w:val="00731925"/>
    <w:rsid w:val="00732534"/>
    <w:rsid w:val="00733372"/>
    <w:rsid w:val="00735344"/>
    <w:rsid w:val="00736AA7"/>
    <w:rsid w:val="007415E8"/>
    <w:rsid w:val="0074769B"/>
    <w:rsid w:val="007506E2"/>
    <w:rsid w:val="0075459F"/>
    <w:rsid w:val="00756BDF"/>
    <w:rsid w:val="00760815"/>
    <w:rsid w:val="007616D1"/>
    <w:rsid w:val="00764057"/>
    <w:rsid w:val="00765678"/>
    <w:rsid w:val="00774C6F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E0560"/>
    <w:rsid w:val="007E26BB"/>
    <w:rsid w:val="007F2AD6"/>
    <w:rsid w:val="007F41E1"/>
    <w:rsid w:val="007F5295"/>
    <w:rsid w:val="007F69FB"/>
    <w:rsid w:val="007F704F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90169B"/>
    <w:rsid w:val="00910903"/>
    <w:rsid w:val="009129F6"/>
    <w:rsid w:val="00913156"/>
    <w:rsid w:val="009166AE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B4E61"/>
    <w:rsid w:val="009B4F76"/>
    <w:rsid w:val="009C0EAA"/>
    <w:rsid w:val="009C122A"/>
    <w:rsid w:val="009C2431"/>
    <w:rsid w:val="009C3767"/>
    <w:rsid w:val="009D3708"/>
    <w:rsid w:val="009D48C2"/>
    <w:rsid w:val="009D71FB"/>
    <w:rsid w:val="009E262C"/>
    <w:rsid w:val="009E42A9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4A85"/>
    <w:rsid w:val="00B05CC8"/>
    <w:rsid w:val="00B06170"/>
    <w:rsid w:val="00B11334"/>
    <w:rsid w:val="00B11B77"/>
    <w:rsid w:val="00B12F87"/>
    <w:rsid w:val="00B147BC"/>
    <w:rsid w:val="00B277DF"/>
    <w:rsid w:val="00B27FD7"/>
    <w:rsid w:val="00B30B0F"/>
    <w:rsid w:val="00B338FA"/>
    <w:rsid w:val="00B357FC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85FA5"/>
    <w:rsid w:val="00B90148"/>
    <w:rsid w:val="00BA0D4A"/>
    <w:rsid w:val="00BA2B31"/>
    <w:rsid w:val="00BA3B3E"/>
    <w:rsid w:val="00BA598D"/>
    <w:rsid w:val="00BA7E98"/>
    <w:rsid w:val="00BB41E4"/>
    <w:rsid w:val="00BB4720"/>
    <w:rsid w:val="00BB4FA2"/>
    <w:rsid w:val="00BC01E7"/>
    <w:rsid w:val="00BD032F"/>
    <w:rsid w:val="00BD5428"/>
    <w:rsid w:val="00BD561F"/>
    <w:rsid w:val="00BD686E"/>
    <w:rsid w:val="00BD6E27"/>
    <w:rsid w:val="00BE0FB8"/>
    <w:rsid w:val="00BE1F31"/>
    <w:rsid w:val="00BE273C"/>
    <w:rsid w:val="00BE59E7"/>
    <w:rsid w:val="00BE7731"/>
    <w:rsid w:val="00BF00DF"/>
    <w:rsid w:val="00BF139C"/>
    <w:rsid w:val="00C058CC"/>
    <w:rsid w:val="00C11475"/>
    <w:rsid w:val="00C14A40"/>
    <w:rsid w:val="00C30713"/>
    <w:rsid w:val="00C30AA6"/>
    <w:rsid w:val="00C3537F"/>
    <w:rsid w:val="00C42C1A"/>
    <w:rsid w:val="00C45584"/>
    <w:rsid w:val="00C6172A"/>
    <w:rsid w:val="00C63A99"/>
    <w:rsid w:val="00C63E31"/>
    <w:rsid w:val="00C7359F"/>
    <w:rsid w:val="00C74380"/>
    <w:rsid w:val="00C74A5C"/>
    <w:rsid w:val="00C95D00"/>
    <w:rsid w:val="00C967A5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3D80"/>
    <w:rsid w:val="00CE79FB"/>
    <w:rsid w:val="00CE7C17"/>
    <w:rsid w:val="00CF3703"/>
    <w:rsid w:val="00CF3C5A"/>
    <w:rsid w:val="00D00785"/>
    <w:rsid w:val="00D01E63"/>
    <w:rsid w:val="00D03185"/>
    <w:rsid w:val="00D06918"/>
    <w:rsid w:val="00D07CB7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A03"/>
    <w:rsid w:val="00D45EA4"/>
    <w:rsid w:val="00D510C2"/>
    <w:rsid w:val="00D51573"/>
    <w:rsid w:val="00D52B9B"/>
    <w:rsid w:val="00D539F8"/>
    <w:rsid w:val="00D56346"/>
    <w:rsid w:val="00D56662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64DF"/>
    <w:rsid w:val="00DD1511"/>
    <w:rsid w:val="00DE0A76"/>
    <w:rsid w:val="00DF1285"/>
    <w:rsid w:val="00E02E5B"/>
    <w:rsid w:val="00E07B26"/>
    <w:rsid w:val="00E1061E"/>
    <w:rsid w:val="00E26D7B"/>
    <w:rsid w:val="00E322EE"/>
    <w:rsid w:val="00E33045"/>
    <w:rsid w:val="00E3686B"/>
    <w:rsid w:val="00E374CC"/>
    <w:rsid w:val="00E4094F"/>
    <w:rsid w:val="00E41086"/>
    <w:rsid w:val="00E45158"/>
    <w:rsid w:val="00E4573A"/>
    <w:rsid w:val="00E54E43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3455"/>
    <w:rsid w:val="00E96C1A"/>
    <w:rsid w:val="00E97C37"/>
    <w:rsid w:val="00EA22AB"/>
    <w:rsid w:val="00EA54A7"/>
    <w:rsid w:val="00EA6549"/>
    <w:rsid w:val="00EA6A6B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16635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8475C"/>
    <w:rsid w:val="00F86A01"/>
    <w:rsid w:val="00FA1B29"/>
    <w:rsid w:val="00FA6F18"/>
    <w:rsid w:val="00FB72B1"/>
    <w:rsid w:val="00FB7BFD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sya.c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5FC7-D7FD-42DF-9B35-28454FE9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12</cp:revision>
  <cp:lastPrinted>2022-12-01T11:56:00Z</cp:lastPrinted>
  <dcterms:created xsi:type="dcterms:W3CDTF">2023-02-02T11:48:00Z</dcterms:created>
  <dcterms:modified xsi:type="dcterms:W3CDTF">2023-03-06T09:16:00Z</dcterms:modified>
</cp:coreProperties>
</file>