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BC2E98">
        <w:rPr>
          <w:sz w:val="24"/>
          <w:szCs w:val="24"/>
        </w:rPr>
        <w:t>2</w:t>
      </w:r>
      <w:r w:rsidR="00A1396C">
        <w:rPr>
          <w:sz w:val="24"/>
          <w:szCs w:val="24"/>
        </w:rPr>
        <w:t xml:space="preserve"> квартал 2020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BC2E98" w:rsidP="00DE7F61">
            <w:pPr>
              <w:spacing w:line="240" w:lineRule="exact"/>
              <w:jc w:val="center"/>
            </w:pPr>
            <w:r>
              <w:t>214199,00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BC2E98" w:rsidP="00CF6DB0">
            <w:pPr>
              <w:spacing w:line="240" w:lineRule="exact"/>
              <w:jc w:val="center"/>
            </w:pPr>
            <w:r>
              <w:t>47809,00</w:t>
            </w:r>
            <w:bookmarkStart w:id="0" w:name="_GoBack"/>
            <w:bookmarkEnd w:id="0"/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1BC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96C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2E98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2020-03-31T12:03:00Z</cp:lastPrinted>
  <dcterms:created xsi:type="dcterms:W3CDTF">2020-07-07T06:42:00Z</dcterms:created>
  <dcterms:modified xsi:type="dcterms:W3CDTF">2020-07-07T06:42:00Z</dcterms:modified>
</cp:coreProperties>
</file>